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9622C2" w14:textId="1C4BE712" w:rsidR="00BE32B3" w:rsidRPr="00CA4C94" w:rsidRDefault="00EB3FD6" w:rsidP="0015687A">
      <w:pPr>
        <w:jc w:val="center"/>
        <w:rPr>
          <w:rFonts w:ascii="Goudy Old Style" w:hAnsi="Goudy Old Style"/>
          <w:sz w:val="36"/>
          <w:szCs w:val="36"/>
        </w:rPr>
      </w:pPr>
      <w:r>
        <w:rPr>
          <w:rFonts w:ascii="Goudy Old Style" w:hAnsi="Goudy Old Style"/>
          <w:noProof/>
          <w:sz w:val="36"/>
          <w:szCs w:val="36"/>
        </w:rPr>
        <mc:AlternateContent>
          <mc:Choice Requires="wps">
            <w:drawing>
              <wp:anchor distT="0" distB="0" distL="114300" distR="114300" simplePos="0" relativeHeight="251659264" behindDoc="0" locked="0" layoutInCell="1" allowOverlap="1" wp14:anchorId="40C943FD" wp14:editId="04421895">
                <wp:simplePos x="0" y="0"/>
                <wp:positionH relativeFrom="column">
                  <wp:posOffset>3657600</wp:posOffset>
                </wp:positionH>
                <wp:positionV relativeFrom="paragraph">
                  <wp:posOffset>0</wp:posOffset>
                </wp:positionV>
                <wp:extent cx="0" cy="7086600"/>
                <wp:effectExtent l="0" t="0" r="25400" b="25400"/>
                <wp:wrapNone/>
                <wp:docPr id="5" name="Straight Connector 5"/>
                <wp:cNvGraphicFramePr/>
                <a:graphic xmlns:a="http://schemas.openxmlformats.org/drawingml/2006/main">
                  <a:graphicData uri="http://schemas.microsoft.com/office/word/2010/wordprocessingShape">
                    <wps:wsp>
                      <wps:cNvCnPr/>
                      <wps:spPr>
                        <a:xfrm>
                          <a:off x="0" y="0"/>
                          <a:ext cx="0" cy="7086600"/>
                        </a:xfrm>
                        <a:prstGeom prst="line">
                          <a:avLst/>
                        </a:prstGeom>
                        <a:ln w="12700">
                          <a:solidFill>
                            <a:schemeClr val="tx1">
                              <a:lumMod val="50000"/>
                              <a:lumOff val="50000"/>
                            </a:schemeClr>
                          </a:solidFill>
                        </a:ln>
                        <a:effectLst>
                          <a:innerShdw blurRad="63500" dist="50800" dir="13500000">
                            <a:srgbClr val="000000">
                              <a:alpha val="50000"/>
                            </a:srgbClr>
                          </a:innerShdw>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in,0" to="4in,55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" strokecolor="gray [1629]" strokeweight="1pt"/>
            </w:pict>
          </mc:Fallback>
        </mc:AlternateContent>
      </w:r>
      <w:r w:rsidR="00727948">
        <w:rPr>
          <w:rFonts w:ascii="Goudy Old Style" w:hAnsi="Goudy Old Style"/>
          <w:sz w:val="36"/>
          <w:szCs w:val="36"/>
        </w:rPr>
        <w:t xml:space="preserve">Petite </w:t>
      </w:r>
      <w:proofErr w:type="spellStart"/>
      <w:r w:rsidR="00727948">
        <w:rPr>
          <w:rFonts w:ascii="Goudy Old Style" w:hAnsi="Goudy Old Style"/>
          <w:sz w:val="36"/>
          <w:szCs w:val="36"/>
        </w:rPr>
        <w:t>Sirah</w:t>
      </w:r>
      <w:proofErr w:type="spellEnd"/>
      <w:r w:rsidR="004B6A6F" w:rsidRPr="00CA4C94">
        <w:rPr>
          <w:rFonts w:ascii="Goudy Old Style" w:hAnsi="Goudy Old Style"/>
          <w:sz w:val="36"/>
          <w:szCs w:val="36"/>
        </w:rPr>
        <w:t xml:space="preserve"> </w:t>
      </w:r>
    </w:p>
    <w:p w14:paraId="2EBD876C" w14:textId="18C0CB23" w:rsidR="00CA4C94" w:rsidRDefault="00727948" w:rsidP="0015687A">
      <w:pPr>
        <w:jc w:val="center"/>
        <w:rPr>
          <w:rFonts w:ascii="Goudy Old Style" w:hAnsi="Goudy Old Style"/>
        </w:rPr>
      </w:pPr>
      <w:r>
        <w:rPr>
          <w:rFonts w:ascii="Goudy Old Style" w:hAnsi="Goudy Old Style"/>
        </w:rPr>
        <w:t>Kelsey Bench</w:t>
      </w:r>
      <w:r w:rsidR="008E5553">
        <w:rPr>
          <w:rFonts w:ascii="Goudy Old Style" w:hAnsi="Goudy Old Style"/>
        </w:rPr>
        <w:t xml:space="preserve"> </w:t>
      </w:r>
      <w:r w:rsidR="00CA4C94" w:rsidRPr="00CA4C94">
        <w:rPr>
          <w:rFonts w:ascii="Goudy Old Style" w:hAnsi="Goudy Old Style"/>
        </w:rPr>
        <w:t>- Lake County</w:t>
      </w:r>
    </w:p>
    <w:p w14:paraId="38011413" w14:textId="77777777" w:rsidR="00CA4C94" w:rsidRDefault="00CA4C94" w:rsidP="0015687A">
      <w:pPr>
        <w:jc w:val="center"/>
        <w:rPr>
          <w:rFonts w:ascii="Goudy Old Style" w:hAnsi="Goudy Old Style"/>
        </w:rPr>
      </w:pPr>
    </w:p>
    <w:p w14:paraId="1C6BEE94" w14:textId="1E189E0D" w:rsidR="001636C2" w:rsidRPr="0007418E" w:rsidRDefault="00727948" w:rsidP="00D73DC5">
      <w:pPr>
        <w:ind w:right="144"/>
        <w:jc w:val="center"/>
        <w:rPr>
          <w:rFonts w:ascii="Goudy Old Style" w:hAnsi="Goudy Old Style"/>
          <w:sz w:val="22"/>
          <w:szCs w:val="22"/>
        </w:rPr>
      </w:pPr>
      <w:r>
        <w:rPr>
          <w:rFonts w:ascii="Goudy Old Style" w:hAnsi="Goudy Old Style"/>
          <w:sz w:val="22"/>
          <w:szCs w:val="22"/>
        </w:rPr>
        <w:t>Estate g</w:t>
      </w:r>
      <w:r w:rsidR="008E5553">
        <w:rPr>
          <w:rFonts w:ascii="Goudy Old Style" w:hAnsi="Goudy Old Style"/>
          <w:sz w:val="22"/>
          <w:szCs w:val="22"/>
        </w:rPr>
        <w:t>rown at 1</w:t>
      </w:r>
      <w:r>
        <w:rPr>
          <w:rFonts w:ascii="Goudy Old Style" w:hAnsi="Goudy Old Style"/>
          <w:sz w:val="22"/>
          <w:szCs w:val="22"/>
        </w:rPr>
        <w:t>45</w:t>
      </w:r>
      <w:r w:rsidR="00526152" w:rsidRPr="0007418E">
        <w:rPr>
          <w:rFonts w:ascii="Goudy Old Style" w:hAnsi="Goudy Old Style"/>
          <w:sz w:val="22"/>
          <w:szCs w:val="22"/>
        </w:rPr>
        <w:t>0’ elevation on red, obsidian-strewn soil</w:t>
      </w:r>
      <w:r w:rsidR="00555810" w:rsidRPr="0007418E">
        <w:rPr>
          <w:rFonts w:ascii="Goudy Old Style" w:hAnsi="Goudy Old Style"/>
          <w:sz w:val="22"/>
          <w:szCs w:val="22"/>
        </w:rPr>
        <w:t xml:space="preserve"> resulting from Mt. </w:t>
      </w:r>
      <w:proofErr w:type="spellStart"/>
      <w:r w:rsidR="00555810" w:rsidRPr="0007418E">
        <w:rPr>
          <w:rFonts w:ascii="Goudy Old Style" w:hAnsi="Goudy Old Style"/>
          <w:sz w:val="22"/>
          <w:szCs w:val="22"/>
        </w:rPr>
        <w:t>Konocti’s</w:t>
      </w:r>
      <w:proofErr w:type="spellEnd"/>
      <w:r w:rsidR="00555810" w:rsidRPr="0007418E">
        <w:rPr>
          <w:rFonts w:ascii="Goudy Old Style" w:hAnsi="Goudy Old Style"/>
          <w:sz w:val="22"/>
          <w:szCs w:val="22"/>
        </w:rPr>
        <w:t xml:space="preserve"> volcanic upheaval</w:t>
      </w:r>
      <w:r w:rsidR="00816CE9">
        <w:rPr>
          <w:rFonts w:ascii="Goudy Old Style" w:hAnsi="Goudy Old Style"/>
          <w:sz w:val="22"/>
          <w:szCs w:val="22"/>
        </w:rPr>
        <w:t xml:space="preserve"> and collision with the Mayacamas mountain range</w:t>
      </w:r>
      <w:r w:rsidR="00555810" w:rsidRPr="0007418E">
        <w:rPr>
          <w:rFonts w:ascii="Goudy Old Style" w:hAnsi="Goudy Old Style"/>
          <w:sz w:val="22"/>
          <w:szCs w:val="22"/>
        </w:rPr>
        <w:t xml:space="preserve">, </w:t>
      </w:r>
      <w:r w:rsidR="003A097F" w:rsidRPr="0007418E">
        <w:rPr>
          <w:rFonts w:ascii="Goudy Old Style" w:hAnsi="Goudy Old Style"/>
          <w:sz w:val="22"/>
          <w:szCs w:val="22"/>
        </w:rPr>
        <w:t>ou</w:t>
      </w:r>
      <w:r w:rsidR="008E5553">
        <w:rPr>
          <w:rFonts w:ascii="Goudy Old Style" w:hAnsi="Goudy Old Style"/>
          <w:sz w:val="22"/>
          <w:szCs w:val="22"/>
        </w:rPr>
        <w:t xml:space="preserve">r </w:t>
      </w:r>
      <w:r>
        <w:rPr>
          <w:rFonts w:ascii="Goudy Old Style" w:hAnsi="Goudy Old Style"/>
          <w:sz w:val="22"/>
          <w:szCs w:val="22"/>
        </w:rPr>
        <w:t xml:space="preserve">Petite </w:t>
      </w:r>
      <w:proofErr w:type="spellStart"/>
      <w:r>
        <w:rPr>
          <w:rFonts w:ascii="Goudy Old Style" w:hAnsi="Goudy Old Style"/>
          <w:sz w:val="22"/>
          <w:szCs w:val="22"/>
        </w:rPr>
        <w:t>Sirah</w:t>
      </w:r>
      <w:proofErr w:type="spellEnd"/>
      <w:r w:rsidR="008E5553">
        <w:rPr>
          <w:rFonts w:ascii="Goudy Old Style" w:hAnsi="Goudy Old Style"/>
          <w:sz w:val="22"/>
          <w:szCs w:val="22"/>
        </w:rPr>
        <w:t xml:space="preserve"> is surprisingly delicate and subtle</w:t>
      </w:r>
      <w:r w:rsidR="00D46E89" w:rsidRPr="0007418E">
        <w:rPr>
          <w:rFonts w:ascii="Goudy Old Style" w:hAnsi="Goudy Old Style"/>
          <w:sz w:val="22"/>
          <w:szCs w:val="22"/>
        </w:rPr>
        <w:t>.</w:t>
      </w:r>
    </w:p>
    <w:p w14:paraId="73AC56CA" w14:textId="77777777" w:rsidR="00A05F6F" w:rsidRPr="0007418E" w:rsidRDefault="00A05F6F" w:rsidP="00D73DC5">
      <w:pPr>
        <w:ind w:right="144"/>
        <w:jc w:val="center"/>
        <w:rPr>
          <w:rFonts w:ascii="Goudy Old Style" w:hAnsi="Goudy Old Style"/>
          <w:sz w:val="22"/>
          <w:szCs w:val="22"/>
        </w:rPr>
      </w:pPr>
    </w:p>
    <w:p w14:paraId="622801B7" w14:textId="6A8B3E5F" w:rsidR="00952F5E" w:rsidRPr="00952F5E" w:rsidRDefault="001636C2" w:rsidP="00952F5E">
      <w:pPr>
        <w:rPr>
          <w:rFonts w:ascii="Times" w:eastAsia="Times New Roman" w:hAnsi="Times" w:cs="Times New Roman"/>
          <w:sz w:val="20"/>
          <w:szCs w:val="20"/>
        </w:rPr>
      </w:pPr>
      <w:r w:rsidRPr="0007418E">
        <w:rPr>
          <w:rFonts w:ascii="Goudy Old Style" w:hAnsi="Goudy Old Style"/>
          <w:b/>
          <w:sz w:val="22"/>
          <w:szCs w:val="22"/>
        </w:rPr>
        <w:t>Tasting notes:</w:t>
      </w:r>
      <w:r w:rsidR="00F9115F">
        <w:rPr>
          <w:rFonts w:ascii="Goudy Old Style" w:hAnsi="Goudy Old Style"/>
          <w:b/>
          <w:sz w:val="22"/>
          <w:szCs w:val="22"/>
        </w:rPr>
        <w:t xml:space="preserve"> </w:t>
      </w:r>
      <w:r w:rsidR="00727948">
        <w:rPr>
          <w:rFonts w:ascii="Goudy Old Style" w:hAnsi="Goudy Old Style"/>
          <w:sz w:val="22"/>
          <w:szCs w:val="22"/>
        </w:rPr>
        <w:t xml:space="preserve">Blackberry and blueberry jam front and center in classic Petite </w:t>
      </w:r>
      <w:proofErr w:type="spellStart"/>
      <w:r w:rsidR="00727948">
        <w:rPr>
          <w:rFonts w:ascii="Goudy Old Style" w:hAnsi="Goudy Old Style"/>
          <w:sz w:val="22"/>
          <w:szCs w:val="22"/>
        </w:rPr>
        <w:t>Sirah</w:t>
      </w:r>
      <w:proofErr w:type="spellEnd"/>
      <w:r w:rsidR="00727948">
        <w:rPr>
          <w:rFonts w:ascii="Goudy Old Style" w:hAnsi="Goudy Old Style"/>
          <w:sz w:val="22"/>
          <w:szCs w:val="22"/>
        </w:rPr>
        <w:t xml:space="preserve"> fashion, but lurking below are black cherry, rose petals, hibiscus, peppery spice blend and a hint of pomegranate. Ample fine-grained gritty Petite </w:t>
      </w:r>
      <w:r w:rsidR="00816CE9">
        <w:rPr>
          <w:rFonts w:ascii="Goudy Old Style" w:hAnsi="Goudy Old Style"/>
          <w:sz w:val="22"/>
          <w:szCs w:val="22"/>
        </w:rPr>
        <w:t xml:space="preserve">cocoa-and-black-tea </w:t>
      </w:r>
      <w:r w:rsidR="00727948">
        <w:rPr>
          <w:rFonts w:ascii="Goudy Old Style" w:hAnsi="Goudy Old Style"/>
          <w:sz w:val="22"/>
          <w:szCs w:val="22"/>
        </w:rPr>
        <w:t>tannin on the back palate</w:t>
      </w:r>
      <w:r w:rsidR="003560BB">
        <w:rPr>
          <w:rFonts w:ascii="Goudy Old Style" w:hAnsi="Goudy Old Style"/>
          <w:sz w:val="22"/>
          <w:szCs w:val="22"/>
        </w:rPr>
        <w:t xml:space="preserve"> and low acid as is the norm, uncluttered by oak sweetness.</w:t>
      </w:r>
      <w:r w:rsidR="00DE3659">
        <w:rPr>
          <w:rFonts w:ascii="Goudy Old Style" w:hAnsi="Goudy Old Style"/>
          <w:sz w:val="22"/>
          <w:szCs w:val="22"/>
        </w:rPr>
        <w:t xml:space="preserve"> Like all Prima Materia wines we are focused more on earth and </w:t>
      </w:r>
      <w:r w:rsidR="005C6242">
        <w:rPr>
          <w:rFonts w:ascii="Goudy Old Style" w:hAnsi="Goudy Old Style"/>
          <w:sz w:val="22"/>
          <w:szCs w:val="22"/>
        </w:rPr>
        <w:t>tactile mouth</w:t>
      </w:r>
      <w:r w:rsidR="00DE3659">
        <w:rPr>
          <w:rFonts w:ascii="Goudy Old Style" w:hAnsi="Goudy Old Style"/>
          <w:sz w:val="22"/>
          <w:szCs w:val="22"/>
        </w:rPr>
        <w:t>feel than soft, oaky fruit and hedonistic beverages.</w:t>
      </w:r>
    </w:p>
    <w:p w14:paraId="1C295736" w14:textId="664B121E" w:rsidR="00966A2A" w:rsidRPr="0007418E" w:rsidRDefault="00966A2A" w:rsidP="00D73DC5">
      <w:pPr>
        <w:ind w:right="144"/>
        <w:rPr>
          <w:rFonts w:ascii="Goudy Old Style" w:hAnsi="Goudy Old Style"/>
          <w:sz w:val="22"/>
          <w:szCs w:val="22"/>
        </w:rPr>
      </w:pPr>
    </w:p>
    <w:p w14:paraId="6E90FE8F" w14:textId="7F863051" w:rsidR="00D64E5D" w:rsidRPr="00D64E5D" w:rsidRDefault="00A05F6F" w:rsidP="00D64E5D">
      <w:pPr>
        <w:rPr>
          <w:rFonts w:ascii="Times" w:eastAsia="Times New Roman" w:hAnsi="Times" w:cs="Times New Roman"/>
          <w:sz w:val="20"/>
          <w:szCs w:val="20"/>
        </w:rPr>
      </w:pPr>
      <w:r w:rsidRPr="0007418E">
        <w:rPr>
          <w:rFonts w:ascii="Goudy Old Style" w:hAnsi="Goudy Old Style"/>
          <w:b/>
          <w:sz w:val="22"/>
          <w:szCs w:val="22"/>
        </w:rPr>
        <w:t>Vineyard</w:t>
      </w:r>
      <w:r w:rsidR="00966A2A" w:rsidRPr="0007418E">
        <w:rPr>
          <w:rFonts w:ascii="Goudy Old Style" w:hAnsi="Goudy Old Style"/>
          <w:b/>
          <w:sz w:val="22"/>
          <w:szCs w:val="22"/>
        </w:rPr>
        <w:t>:</w:t>
      </w:r>
      <w:r w:rsidR="00966A2A" w:rsidRPr="0007418E">
        <w:rPr>
          <w:rFonts w:ascii="Goudy Old Style" w:hAnsi="Goudy Old Style"/>
          <w:sz w:val="22"/>
          <w:szCs w:val="22"/>
        </w:rPr>
        <w:t xml:space="preserve"> </w:t>
      </w:r>
      <w:r w:rsidR="003560BB">
        <w:rPr>
          <w:rFonts w:ascii="Goudy Old Style" w:hAnsi="Goudy Old Style"/>
          <w:sz w:val="22"/>
          <w:szCs w:val="22"/>
        </w:rPr>
        <w:t xml:space="preserve">Planted in 2011, we have only 120 Petite </w:t>
      </w:r>
      <w:proofErr w:type="spellStart"/>
      <w:r w:rsidR="003560BB">
        <w:rPr>
          <w:rFonts w:ascii="Goudy Old Style" w:hAnsi="Goudy Old Style"/>
          <w:sz w:val="22"/>
          <w:szCs w:val="22"/>
        </w:rPr>
        <w:t>Sirah</w:t>
      </w:r>
      <w:proofErr w:type="spellEnd"/>
      <w:r w:rsidR="003560BB">
        <w:rPr>
          <w:rFonts w:ascii="Goudy Old Style" w:hAnsi="Goudy Old Style"/>
          <w:sz w:val="22"/>
          <w:szCs w:val="22"/>
        </w:rPr>
        <w:t xml:space="preserve"> vines, clone 03 on St. George roots, planted east/west on a 10-degree slope. California sprawl trellising</w:t>
      </w:r>
      <w:r w:rsidR="00725C3F">
        <w:rPr>
          <w:rFonts w:ascii="Goudy Old Style" w:hAnsi="Goudy Old Style"/>
          <w:sz w:val="22"/>
          <w:szCs w:val="22"/>
        </w:rPr>
        <w:t>, opting for a circa-1976 style.</w:t>
      </w:r>
    </w:p>
    <w:p w14:paraId="161C6E1B" w14:textId="77777777" w:rsidR="00D64B17" w:rsidRPr="0007418E" w:rsidRDefault="00D64B17" w:rsidP="00D73DC5">
      <w:pPr>
        <w:ind w:right="144"/>
        <w:rPr>
          <w:rFonts w:ascii="Goudy Old Style" w:hAnsi="Goudy Old Style"/>
          <w:sz w:val="22"/>
          <w:szCs w:val="22"/>
        </w:rPr>
      </w:pPr>
    </w:p>
    <w:p w14:paraId="5BB8B00A" w14:textId="1B94E6A1" w:rsidR="00D64B17" w:rsidRPr="0007418E" w:rsidRDefault="00D64B17" w:rsidP="00D73DC5">
      <w:pPr>
        <w:ind w:right="144"/>
        <w:rPr>
          <w:rFonts w:ascii="Goudy Old Style" w:hAnsi="Goudy Old Style"/>
          <w:sz w:val="22"/>
          <w:szCs w:val="22"/>
        </w:rPr>
      </w:pPr>
      <w:r w:rsidRPr="0007418E">
        <w:rPr>
          <w:rFonts w:ascii="Goudy Old Style" w:hAnsi="Goudy Old Style"/>
          <w:b/>
          <w:sz w:val="22"/>
          <w:szCs w:val="22"/>
        </w:rPr>
        <w:t>Winemaking:</w:t>
      </w:r>
      <w:r w:rsidRPr="0007418E">
        <w:rPr>
          <w:rFonts w:ascii="Goudy Old Style" w:hAnsi="Goudy Old Style"/>
          <w:sz w:val="22"/>
          <w:szCs w:val="22"/>
        </w:rPr>
        <w:t xml:space="preserve"> </w:t>
      </w:r>
      <w:r w:rsidR="003560BB">
        <w:rPr>
          <w:rFonts w:ascii="Goudy Old Style" w:hAnsi="Goudy Old Style"/>
          <w:sz w:val="22"/>
          <w:szCs w:val="22"/>
        </w:rPr>
        <w:t xml:space="preserve">Bin fermentations lasting 13 and 16 for both vintages, a little bit of whole cluster, </w:t>
      </w:r>
      <w:r w:rsidR="00725C3F">
        <w:rPr>
          <w:rFonts w:ascii="Goudy Old Style" w:hAnsi="Goudy Old Style"/>
          <w:sz w:val="22"/>
          <w:szCs w:val="22"/>
        </w:rPr>
        <w:t xml:space="preserve">temperatures kept low to </w:t>
      </w:r>
      <w:bookmarkStart w:id="0" w:name="_GoBack"/>
      <w:r w:rsidR="00725C3F">
        <w:rPr>
          <w:rFonts w:ascii="Goudy Old Style" w:hAnsi="Goudy Old Style"/>
          <w:sz w:val="22"/>
          <w:szCs w:val="22"/>
        </w:rPr>
        <w:t xml:space="preserve">minimize tannin extraction. Pressed dirty into barrels and </w:t>
      </w:r>
      <w:bookmarkEnd w:id="0"/>
      <w:r w:rsidR="00725C3F">
        <w:rPr>
          <w:rFonts w:ascii="Goudy Old Style" w:hAnsi="Goudy Old Style"/>
          <w:sz w:val="22"/>
          <w:szCs w:val="22"/>
        </w:rPr>
        <w:t>aerated once then returned to barrels and original lees</w:t>
      </w:r>
      <w:r w:rsidR="00DE3659">
        <w:rPr>
          <w:rFonts w:ascii="Goudy Old Style" w:hAnsi="Goudy Old Style"/>
          <w:sz w:val="22"/>
          <w:szCs w:val="22"/>
        </w:rPr>
        <w:t xml:space="preserve"> to age</w:t>
      </w:r>
      <w:r w:rsidR="00725C3F">
        <w:rPr>
          <w:rFonts w:ascii="Goudy Old Style" w:hAnsi="Goudy Old Style"/>
          <w:sz w:val="22"/>
          <w:szCs w:val="22"/>
        </w:rPr>
        <w:t>.</w:t>
      </w:r>
    </w:p>
    <w:p w14:paraId="57464C3E" w14:textId="77777777" w:rsidR="00794A10" w:rsidRPr="0007418E" w:rsidRDefault="00794A10" w:rsidP="00D73DC5">
      <w:pPr>
        <w:ind w:right="144"/>
        <w:rPr>
          <w:rFonts w:ascii="Goudy Old Style" w:hAnsi="Goudy Old Style"/>
          <w:sz w:val="22"/>
          <w:szCs w:val="22"/>
        </w:rPr>
      </w:pPr>
    </w:p>
    <w:p w14:paraId="10539753" w14:textId="1F8AFB07" w:rsidR="00CD351E" w:rsidRPr="0007418E" w:rsidRDefault="00CD351E" w:rsidP="00CD351E">
      <w:pPr>
        <w:ind w:right="144"/>
        <w:rPr>
          <w:rFonts w:ascii="Goudy Old Style" w:hAnsi="Goudy Old Style"/>
          <w:sz w:val="22"/>
          <w:szCs w:val="22"/>
        </w:rPr>
      </w:pPr>
      <w:r w:rsidRPr="0007418E">
        <w:rPr>
          <w:rFonts w:ascii="Goudy Old Style" w:hAnsi="Goudy Old Style"/>
          <w:b/>
          <w:sz w:val="22"/>
          <w:szCs w:val="22"/>
        </w:rPr>
        <w:t>Vintage:</w:t>
      </w:r>
      <w:r w:rsidRPr="0007418E">
        <w:rPr>
          <w:rFonts w:ascii="Goudy Old Style" w:hAnsi="Goudy Old Style"/>
          <w:sz w:val="22"/>
          <w:szCs w:val="22"/>
        </w:rPr>
        <w:t xml:space="preserve"> </w:t>
      </w:r>
      <w:r w:rsidR="00725C3F">
        <w:rPr>
          <w:rFonts w:ascii="Goudy Old Style" w:hAnsi="Goudy Old Style"/>
          <w:sz w:val="22"/>
          <w:szCs w:val="22"/>
        </w:rPr>
        <w:t>2016 was quite boring and modest, especially after a bizarre 2015. 2017 was hugely challenging with rain, fire, heat, and lots of disease pressure, but it rewarded those of us who worked extra hard in the vineyard with delicacy, nuance, and layering. This non-vintage blend managed to capture the essence of both.</w:t>
      </w:r>
    </w:p>
    <w:p w14:paraId="5EB6DFD5" w14:textId="77777777" w:rsidR="000B016A" w:rsidRDefault="000B016A" w:rsidP="00794A10">
      <w:pPr>
        <w:rPr>
          <w:rFonts w:ascii="Goudy Old Style" w:hAnsi="Goudy Old Style"/>
        </w:rPr>
      </w:pPr>
    </w:p>
    <w:p w14:paraId="461C013B" w14:textId="6E573CAE" w:rsidR="00CD351E" w:rsidRPr="00CD351E" w:rsidRDefault="0007418E" w:rsidP="00CD351E">
      <w:pPr>
        <w:rPr>
          <w:rFonts w:ascii="Times" w:eastAsia="Times New Roman" w:hAnsi="Times" w:cs="Times New Roman"/>
          <w:sz w:val="20"/>
          <w:szCs w:val="20"/>
        </w:rPr>
      </w:pPr>
      <w:r w:rsidRPr="0056247D">
        <w:rPr>
          <w:rFonts w:ascii="Goudy Old Style" w:hAnsi="Goudy Old Style"/>
          <w:b/>
          <w:sz w:val="22"/>
          <w:szCs w:val="22"/>
        </w:rPr>
        <w:t xml:space="preserve">Label </w:t>
      </w:r>
      <w:r w:rsidR="00156666">
        <w:rPr>
          <w:rFonts w:ascii="Goudy Old Style" w:hAnsi="Goudy Old Style"/>
          <w:b/>
          <w:sz w:val="22"/>
          <w:szCs w:val="22"/>
        </w:rPr>
        <w:t>i</w:t>
      </w:r>
      <w:r w:rsidRPr="0056247D">
        <w:rPr>
          <w:rFonts w:ascii="Goudy Old Style" w:hAnsi="Goudy Old Style"/>
          <w:b/>
          <w:sz w:val="22"/>
          <w:szCs w:val="22"/>
        </w:rPr>
        <w:t>mage:</w:t>
      </w:r>
      <w:r w:rsidRPr="00CB508E">
        <w:rPr>
          <w:rFonts w:ascii="Goudy Old Style" w:hAnsi="Goudy Old Style"/>
          <w:sz w:val="22"/>
          <w:szCs w:val="22"/>
        </w:rPr>
        <w:t xml:space="preserve"> </w:t>
      </w:r>
      <w:r w:rsidR="00DE3659" w:rsidRPr="005C6242">
        <w:rPr>
          <w:rFonts w:ascii="Goudy Old Style" w:eastAsia="Times New Roman" w:hAnsi="Goudy Old Style" w:cs="Times New Roman"/>
          <w:color w:val="000000" w:themeColor="text1"/>
          <w:sz w:val="22"/>
          <w:szCs w:val="22"/>
        </w:rPr>
        <w:t xml:space="preserve">Taken from </w:t>
      </w:r>
      <w:r w:rsidR="00DE3659" w:rsidRPr="005C6242">
        <w:rPr>
          <w:rFonts w:ascii="Goudy Old Style" w:eastAsia="Times New Roman" w:hAnsi="Goudy Old Style" w:cs="Times New Roman"/>
          <w:i/>
          <w:iCs/>
          <w:color w:val="000000" w:themeColor="text1"/>
          <w:sz w:val="22"/>
          <w:szCs w:val="22"/>
        </w:rPr>
        <w:t>Cabala</w:t>
      </w:r>
      <w:r w:rsidR="00DE3659" w:rsidRPr="005C6242">
        <w:rPr>
          <w:rFonts w:ascii="Goudy Old Style" w:eastAsia="Times New Roman" w:hAnsi="Goudy Old Style" w:cs="Times New Roman"/>
          <w:color w:val="000000" w:themeColor="text1"/>
          <w:sz w:val="22"/>
          <w:szCs w:val="22"/>
        </w:rPr>
        <w:t xml:space="preserve">, published in 1616 by </w:t>
      </w:r>
      <w:proofErr w:type="spellStart"/>
      <w:r w:rsidR="00DE3659" w:rsidRPr="005C6242">
        <w:rPr>
          <w:rFonts w:ascii="Goudy Old Style" w:eastAsia="Times New Roman" w:hAnsi="Goudy Old Style" w:cs="Times New Roman"/>
          <w:color w:val="000000" w:themeColor="text1"/>
          <w:sz w:val="22"/>
          <w:szCs w:val="22"/>
        </w:rPr>
        <w:t>Steffan</w:t>
      </w:r>
      <w:proofErr w:type="spellEnd"/>
      <w:r w:rsidR="00DE3659" w:rsidRPr="005C6242">
        <w:rPr>
          <w:rFonts w:ascii="Goudy Old Style" w:eastAsia="Times New Roman" w:hAnsi="Goudy Old Style" w:cs="Times New Roman"/>
          <w:color w:val="000000" w:themeColor="text1"/>
          <w:sz w:val="22"/>
          <w:szCs w:val="22"/>
        </w:rPr>
        <w:t xml:space="preserve"> </w:t>
      </w:r>
      <w:proofErr w:type="spellStart"/>
      <w:r w:rsidR="00DE3659" w:rsidRPr="005C6242">
        <w:rPr>
          <w:rFonts w:ascii="Goudy Old Style" w:eastAsia="Times New Roman" w:hAnsi="Goudy Old Style" w:cs="Times New Roman"/>
          <w:color w:val="000000" w:themeColor="text1"/>
          <w:sz w:val="22"/>
          <w:szCs w:val="22"/>
        </w:rPr>
        <w:t>Michelspacher</w:t>
      </w:r>
      <w:proofErr w:type="spellEnd"/>
      <w:r w:rsidR="00DE3659" w:rsidRPr="005C6242">
        <w:rPr>
          <w:rFonts w:ascii="Goudy Old Style" w:eastAsia="Times New Roman" w:hAnsi="Goudy Old Style" w:cs="Times New Roman"/>
          <w:color w:val="000000" w:themeColor="text1"/>
          <w:sz w:val="22"/>
          <w:szCs w:val="22"/>
        </w:rPr>
        <w:t xml:space="preserve">, </w:t>
      </w:r>
      <w:r w:rsidR="005C6242" w:rsidRPr="005C6242">
        <w:rPr>
          <w:rFonts w:ascii="Goudy Old Style" w:eastAsia="Times New Roman" w:hAnsi="Goudy Old Style" w:cs="Times New Roman"/>
          <w:color w:val="000000" w:themeColor="text1"/>
          <w:sz w:val="22"/>
          <w:szCs w:val="22"/>
        </w:rPr>
        <w:t xml:space="preserve">it would be hard </w:t>
      </w:r>
      <w:r w:rsidR="003406EF">
        <w:rPr>
          <w:rFonts w:ascii="Goudy Old Style" w:eastAsia="Times New Roman" w:hAnsi="Goudy Old Style" w:cs="Times New Roman"/>
          <w:color w:val="000000" w:themeColor="text1"/>
          <w:sz w:val="22"/>
          <w:szCs w:val="22"/>
        </w:rPr>
        <w:t xml:space="preserve">to find </w:t>
      </w:r>
      <w:r w:rsidR="005C6242" w:rsidRPr="005C6242">
        <w:rPr>
          <w:rFonts w:ascii="Goudy Old Style" w:eastAsia="Times New Roman" w:hAnsi="Goudy Old Style" w:cs="Times New Roman"/>
          <w:color w:val="000000" w:themeColor="text1"/>
          <w:sz w:val="22"/>
          <w:szCs w:val="22"/>
        </w:rPr>
        <w:t xml:space="preserve">a cooler example of fire-breathing metal dragon art. This image has layers within layers of astronomical, astrological, cosmological and </w:t>
      </w:r>
      <w:proofErr w:type="spellStart"/>
      <w:r w:rsidR="005C6242" w:rsidRPr="005C6242">
        <w:rPr>
          <w:rFonts w:ascii="Goudy Old Style" w:eastAsia="Times New Roman" w:hAnsi="Goudy Old Style" w:cs="Times New Roman"/>
          <w:color w:val="000000" w:themeColor="text1"/>
          <w:sz w:val="22"/>
          <w:szCs w:val="22"/>
        </w:rPr>
        <w:t>metalurgical</w:t>
      </w:r>
      <w:proofErr w:type="spellEnd"/>
      <w:r w:rsidR="005C6242" w:rsidRPr="005C6242">
        <w:rPr>
          <w:rFonts w:ascii="Goudy Old Style" w:eastAsia="Times New Roman" w:hAnsi="Goudy Old Style" w:cs="Times New Roman"/>
          <w:color w:val="000000" w:themeColor="text1"/>
          <w:sz w:val="22"/>
          <w:szCs w:val="22"/>
        </w:rPr>
        <w:t xml:space="preserve"> becoming, with coded alphabet symbolism, and the general thrust according to the author was “…the degree of exaltation which doth comprehend sublimation and elevation together with distillation.” </w:t>
      </w:r>
    </w:p>
    <w:p w14:paraId="28B5CA78" w14:textId="71E117BA" w:rsidR="000B016A" w:rsidRPr="00CB508E" w:rsidRDefault="000B016A" w:rsidP="00794A10">
      <w:pPr>
        <w:rPr>
          <w:rFonts w:ascii="Goudy Old Style" w:hAnsi="Goudy Old Style"/>
          <w:sz w:val="22"/>
          <w:szCs w:val="22"/>
        </w:rPr>
      </w:pPr>
    </w:p>
    <w:p w14:paraId="61251A22" w14:textId="77777777" w:rsidR="000B016A" w:rsidRDefault="000B016A" w:rsidP="00794A10">
      <w:pPr>
        <w:rPr>
          <w:rFonts w:ascii="Goudy Old Style" w:hAnsi="Goudy Old Style"/>
        </w:rPr>
      </w:pPr>
    </w:p>
    <w:p w14:paraId="6768818F" w14:textId="77777777" w:rsidR="000B016A" w:rsidRDefault="000B016A" w:rsidP="00794A10">
      <w:pPr>
        <w:rPr>
          <w:rFonts w:ascii="Goudy Old Style" w:hAnsi="Goudy Old Style"/>
        </w:rPr>
      </w:pPr>
    </w:p>
    <w:p w14:paraId="2F3F4AC7" w14:textId="18DC6EA0" w:rsidR="000B016A" w:rsidRDefault="00727948" w:rsidP="00277276">
      <w:pPr>
        <w:jc w:val="center"/>
        <w:rPr>
          <w:rFonts w:ascii="Goudy Old Style" w:hAnsi="Goudy Old Style"/>
        </w:rPr>
      </w:pPr>
      <w:r>
        <w:rPr>
          <w:rFonts w:ascii="Goudy Old Style" w:hAnsi="Goudy Old Style"/>
          <w:noProof/>
        </w:rPr>
        <w:drawing>
          <wp:inline distT="0" distB="0" distL="0" distR="0" wp14:anchorId="5B8CA4CC" wp14:editId="33AD6A05">
            <wp:extent cx="1666852" cy="16664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V_Petite Sirah_Front_COLA.jpg"/>
                    <pic:cNvPicPr/>
                  </pic:nvPicPr>
                  <pic:blipFill rotWithShape="1">
                    <a:blip r:embed="rId6"/>
                    <a:srcRect r="49987"/>
                    <a:stretch/>
                  </pic:blipFill>
                  <pic:spPr bwMode="auto">
                    <a:xfrm>
                      <a:off x="0" y="0"/>
                      <a:ext cx="1693443" cy="1693014"/>
                    </a:xfrm>
                    <a:prstGeom prst="rect">
                      <a:avLst/>
                    </a:prstGeom>
                    <a:ln>
                      <a:noFill/>
                    </a:ln>
                    <a:extLst>
                      <a:ext uri="{53640926-AAD7-44D8-BBD7-CCE9431645EC}">
                        <a14:shadowObscured xmlns:a14="http://schemas.microsoft.com/office/drawing/2010/main"/>
                      </a:ext>
                    </a:extLst>
                  </pic:spPr>
                </pic:pic>
              </a:graphicData>
            </a:graphic>
          </wp:inline>
        </w:drawing>
      </w:r>
    </w:p>
    <w:p w14:paraId="2A24897D" w14:textId="77777777" w:rsidR="00316703" w:rsidRDefault="00316703" w:rsidP="00277276">
      <w:pPr>
        <w:jc w:val="center"/>
        <w:rPr>
          <w:rFonts w:ascii="Goudy Old Style" w:hAnsi="Goudy Old Style"/>
        </w:rPr>
      </w:pPr>
    </w:p>
    <w:p w14:paraId="35A2106F" w14:textId="5362E203" w:rsidR="00F2559C" w:rsidRPr="003560BB" w:rsidRDefault="00816CE9" w:rsidP="003560BB">
      <w:pPr>
        <w:jc w:val="center"/>
        <w:rPr>
          <w:rFonts w:ascii="Goudy Old Style" w:hAnsi="Goudy Old Style"/>
          <w:b/>
          <w:bCs/>
          <w:sz w:val="28"/>
          <w:szCs w:val="28"/>
        </w:rPr>
      </w:pPr>
      <w:r>
        <w:rPr>
          <w:rFonts w:ascii="Goudy Old Style" w:hAnsi="Goudy Old Style"/>
          <w:b/>
          <w:bCs/>
          <w:sz w:val="28"/>
          <w:szCs w:val="28"/>
        </w:rPr>
        <w:t xml:space="preserve">100% </w:t>
      </w:r>
      <w:r w:rsidR="003560BB" w:rsidRPr="003560BB">
        <w:rPr>
          <w:rFonts w:ascii="Goudy Old Style" w:hAnsi="Goudy Old Style"/>
          <w:b/>
          <w:bCs/>
          <w:sz w:val="28"/>
          <w:szCs w:val="28"/>
        </w:rPr>
        <w:t xml:space="preserve">Petite </w:t>
      </w:r>
      <w:proofErr w:type="spellStart"/>
      <w:r w:rsidR="003560BB" w:rsidRPr="003560BB">
        <w:rPr>
          <w:rFonts w:ascii="Goudy Old Style" w:hAnsi="Goudy Old Style"/>
          <w:b/>
          <w:bCs/>
          <w:sz w:val="28"/>
          <w:szCs w:val="28"/>
        </w:rPr>
        <w:t>Sirah</w:t>
      </w:r>
      <w:proofErr w:type="spellEnd"/>
      <w:r w:rsidR="00F2559C" w:rsidRPr="003560BB">
        <w:rPr>
          <w:rFonts w:ascii="Goudy Old Style" w:hAnsi="Goudy Old Style"/>
          <w:b/>
          <w:bCs/>
          <w:sz w:val="28"/>
          <w:szCs w:val="28"/>
        </w:rPr>
        <w:t xml:space="preserve"> </w:t>
      </w:r>
    </w:p>
    <w:p w14:paraId="4EDC7211" w14:textId="77777777" w:rsidR="003560BB" w:rsidRPr="003560BB" w:rsidRDefault="003560BB" w:rsidP="003560BB">
      <w:pPr>
        <w:jc w:val="center"/>
        <w:rPr>
          <w:rFonts w:ascii="Goudy Old Style" w:hAnsi="Goudy Old Style"/>
          <w:sz w:val="10"/>
          <w:szCs w:val="10"/>
        </w:rPr>
      </w:pPr>
    </w:p>
    <w:p w14:paraId="6AEE540D" w14:textId="77777777" w:rsidR="003560BB" w:rsidRPr="003560BB" w:rsidRDefault="003560BB" w:rsidP="00277276">
      <w:pPr>
        <w:jc w:val="center"/>
        <w:rPr>
          <w:rFonts w:ascii="Goudy Old Style" w:hAnsi="Goudy Old Style"/>
        </w:rPr>
      </w:pPr>
      <w:r w:rsidRPr="003560BB">
        <w:rPr>
          <w:rFonts w:ascii="Goudy Old Style" w:hAnsi="Goudy Old Style"/>
        </w:rPr>
        <w:t>34</w:t>
      </w:r>
      <w:r w:rsidR="00F2559C" w:rsidRPr="003560BB">
        <w:rPr>
          <w:rFonts w:ascii="Goudy Old Style" w:hAnsi="Goudy Old Style"/>
        </w:rPr>
        <w:t xml:space="preserve">% </w:t>
      </w:r>
      <w:r w:rsidRPr="003560BB">
        <w:rPr>
          <w:rFonts w:ascii="Goudy Old Style" w:hAnsi="Goudy Old Style"/>
        </w:rPr>
        <w:t>2016 (one barrel)</w:t>
      </w:r>
    </w:p>
    <w:p w14:paraId="20E6869C" w14:textId="77777777" w:rsidR="003560BB" w:rsidRPr="003560BB" w:rsidRDefault="003560BB" w:rsidP="00277276">
      <w:pPr>
        <w:jc w:val="center"/>
        <w:rPr>
          <w:rFonts w:ascii="Goudy Old Style" w:hAnsi="Goudy Old Style"/>
        </w:rPr>
      </w:pPr>
      <w:r w:rsidRPr="003560BB">
        <w:rPr>
          <w:rFonts w:ascii="Goudy Old Style" w:hAnsi="Goudy Old Style"/>
        </w:rPr>
        <w:t>66% 2017 (two barrels)</w:t>
      </w:r>
    </w:p>
    <w:p w14:paraId="06A75FCA" w14:textId="246BC641" w:rsidR="00F2559C" w:rsidRPr="003560BB" w:rsidRDefault="00DE3659" w:rsidP="00277276">
      <w:pPr>
        <w:jc w:val="center"/>
        <w:rPr>
          <w:rFonts w:ascii="Goudy Old Style" w:hAnsi="Goudy Old Style"/>
        </w:rPr>
      </w:pPr>
      <w:r>
        <w:rPr>
          <w:rFonts w:ascii="Goudy Old Style" w:hAnsi="Goudy Old Style"/>
        </w:rPr>
        <w:t>b</w:t>
      </w:r>
      <w:r w:rsidR="003560BB" w:rsidRPr="003560BB">
        <w:rPr>
          <w:rFonts w:ascii="Goudy Old Style" w:hAnsi="Goudy Old Style"/>
        </w:rPr>
        <w:t>lended in Spring of 2018</w:t>
      </w:r>
      <w:r>
        <w:rPr>
          <w:rFonts w:ascii="Goudy Old Style" w:hAnsi="Goudy Old Style"/>
        </w:rPr>
        <w:t>,</w:t>
      </w:r>
      <w:r w:rsidR="003560BB" w:rsidRPr="003560BB">
        <w:rPr>
          <w:rFonts w:ascii="Goudy Old Style" w:hAnsi="Goudy Old Style"/>
        </w:rPr>
        <w:t xml:space="preserve"> then bottled August 2018</w:t>
      </w:r>
    </w:p>
    <w:p w14:paraId="1D83FFFE" w14:textId="77777777" w:rsidR="00DC2441" w:rsidRDefault="00DC2441" w:rsidP="00277276">
      <w:pPr>
        <w:jc w:val="center"/>
        <w:rPr>
          <w:rFonts w:ascii="Goudy Old Style" w:hAnsi="Goudy Old Style"/>
        </w:rPr>
      </w:pPr>
    </w:p>
    <w:p w14:paraId="6C007309" w14:textId="588AD173" w:rsidR="00316703" w:rsidRDefault="00F2559C" w:rsidP="00277276">
      <w:pPr>
        <w:jc w:val="center"/>
        <w:rPr>
          <w:rFonts w:ascii="Goudy Old Style" w:hAnsi="Goudy Old Style"/>
        </w:rPr>
      </w:pPr>
      <w:r>
        <w:rPr>
          <w:rFonts w:ascii="Goudy Old Style" w:hAnsi="Goudy Old Style"/>
        </w:rPr>
        <w:t>3</w:t>
      </w:r>
      <w:r w:rsidR="00DC57A6">
        <w:rPr>
          <w:rFonts w:ascii="Goudy Old Style" w:hAnsi="Goudy Old Style"/>
        </w:rPr>
        <w:t xml:space="preserve"> neutral 225l</w:t>
      </w:r>
      <w:r w:rsidR="00316703">
        <w:rPr>
          <w:rFonts w:ascii="Goudy Old Style" w:hAnsi="Goudy Old Style"/>
        </w:rPr>
        <w:t xml:space="preserve"> barrel</w:t>
      </w:r>
      <w:r w:rsidR="000A20AE">
        <w:rPr>
          <w:rFonts w:ascii="Goudy Old Style" w:hAnsi="Goudy Old Style"/>
        </w:rPr>
        <w:t>s</w:t>
      </w:r>
      <w:r w:rsidR="00DE3659">
        <w:rPr>
          <w:rFonts w:ascii="Goudy Old Style" w:hAnsi="Goudy Old Style"/>
        </w:rPr>
        <w:t>,</w:t>
      </w:r>
      <w:r w:rsidR="000A20AE">
        <w:rPr>
          <w:rFonts w:ascii="Goudy Old Style" w:hAnsi="Goudy Old Style"/>
        </w:rPr>
        <w:t xml:space="preserve"> </w:t>
      </w:r>
    </w:p>
    <w:p w14:paraId="7CCD0974" w14:textId="765E4575" w:rsidR="00DE3659" w:rsidRDefault="00DE3659" w:rsidP="00277276">
      <w:pPr>
        <w:jc w:val="center"/>
        <w:rPr>
          <w:rFonts w:ascii="Goudy Old Style" w:hAnsi="Goudy Old Style"/>
        </w:rPr>
      </w:pPr>
      <w:r>
        <w:rPr>
          <w:rFonts w:ascii="Goudy Old Style" w:hAnsi="Goudy Old Style"/>
        </w:rPr>
        <w:t>all at least 10 years old</w:t>
      </w:r>
    </w:p>
    <w:p w14:paraId="684A1036" w14:textId="77777777" w:rsidR="004D39B8" w:rsidRDefault="004D39B8" w:rsidP="00277276">
      <w:pPr>
        <w:jc w:val="center"/>
        <w:rPr>
          <w:rFonts w:ascii="Goudy Old Style" w:hAnsi="Goudy Old Style"/>
        </w:rPr>
      </w:pPr>
    </w:p>
    <w:p w14:paraId="7C5CCFD7" w14:textId="6091FB6C" w:rsidR="00EA6DCA" w:rsidRDefault="00EA6DCA" w:rsidP="00277276">
      <w:pPr>
        <w:jc w:val="center"/>
        <w:rPr>
          <w:rFonts w:ascii="Goudy Old Style" w:hAnsi="Goudy Old Style"/>
        </w:rPr>
      </w:pPr>
      <w:r>
        <w:rPr>
          <w:rFonts w:ascii="Goudy Old Style" w:hAnsi="Goudy Old Style"/>
        </w:rPr>
        <w:t>No racking</w:t>
      </w:r>
      <w:r w:rsidR="004D39B8">
        <w:rPr>
          <w:rFonts w:ascii="Goudy Old Style" w:hAnsi="Goudy Old Style"/>
        </w:rPr>
        <w:t xml:space="preserve"> until bottling</w:t>
      </w:r>
      <w:r w:rsidR="00DE3659">
        <w:rPr>
          <w:rFonts w:ascii="Goudy Old Style" w:hAnsi="Goudy Old Style"/>
        </w:rPr>
        <w:t>,</w:t>
      </w:r>
    </w:p>
    <w:p w14:paraId="5B67457C" w14:textId="7DA5E119" w:rsidR="00DE3659" w:rsidRDefault="00DE3659" w:rsidP="00277276">
      <w:pPr>
        <w:jc w:val="center"/>
        <w:rPr>
          <w:rFonts w:ascii="Goudy Old Style" w:hAnsi="Goudy Old Style"/>
        </w:rPr>
      </w:pPr>
      <w:proofErr w:type="spellStart"/>
      <w:r>
        <w:rPr>
          <w:rFonts w:ascii="Goudy Old Style" w:hAnsi="Goudy Old Style"/>
        </w:rPr>
        <w:t>unfined</w:t>
      </w:r>
      <w:proofErr w:type="spellEnd"/>
      <w:r>
        <w:rPr>
          <w:rFonts w:ascii="Goudy Old Style" w:hAnsi="Goudy Old Style"/>
        </w:rPr>
        <w:t xml:space="preserve"> and unfiltered</w:t>
      </w:r>
    </w:p>
    <w:p w14:paraId="23D1518F" w14:textId="77777777" w:rsidR="00DC2441" w:rsidRDefault="00DC2441" w:rsidP="00DE3659">
      <w:pPr>
        <w:rPr>
          <w:rFonts w:ascii="Goudy Old Style" w:hAnsi="Goudy Old Style"/>
        </w:rPr>
      </w:pPr>
    </w:p>
    <w:p w14:paraId="3032ACD9" w14:textId="690D17D6" w:rsidR="000A20AE" w:rsidRDefault="005924B1" w:rsidP="00277276">
      <w:pPr>
        <w:jc w:val="center"/>
        <w:rPr>
          <w:rFonts w:ascii="Goudy Old Style" w:hAnsi="Goudy Old Style"/>
        </w:rPr>
      </w:pPr>
      <w:r>
        <w:rPr>
          <w:rFonts w:ascii="Goudy Old Style" w:hAnsi="Goudy Old Style"/>
        </w:rPr>
        <w:t>pH 3.8</w:t>
      </w:r>
      <w:r w:rsidR="00DE3659">
        <w:rPr>
          <w:rFonts w:ascii="Goudy Old Style" w:hAnsi="Goudy Old Style"/>
        </w:rPr>
        <w:t>7</w:t>
      </w:r>
    </w:p>
    <w:p w14:paraId="231DC8C4" w14:textId="6468EE6D" w:rsidR="000A20AE" w:rsidRDefault="005924B1" w:rsidP="00277276">
      <w:pPr>
        <w:jc w:val="center"/>
        <w:rPr>
          <w:rFonts w:ascii="Goudy Old Style" w:hAnsi="Goudy Old Style"/>
        </w:rPr>
      </w:pPr>
      <w:r>
        <w:rPr>
          <w:rFonts w:ascii="Goudy Old Style" w:hAnsi="Goudy Old Style"/>
        </w:rPr>
        <w:t>TA 5.6</w:t>
      </w:r>
      <w:r w:rsidR="000A20AE">
        <w:rPr>
          <w:rFonts w:ascii="Goudy Old Style" w:hAnsi="Goudy Old Style"/>
        </w:rPr>
        <w:t>gm/l</w:t>
      </w:r>
    </w:p>
    <w:p w14:paraId="48ABC911" w14:textId="2D3FE387" w:rsidR="000A20AE" w:rsidRDefault="005924B1" w:rsidP="00277276">
      <w:pPr>
        <w:jc w:val="center"/>
        <w:rPr>
          <w:rFonts w:ascii="Goudy Old Style" w:hAnsi="Goudy Old Style"/>
        </w:rPr>
      </w:pPr>
      <w:r>
        <w:rPr>
          <w:rFonts w:ascii="Goudy Old Style" w:hAnsi="Goudy Old Style"/>
        </w:rPr>
        <w:t>14.3</w:t>
      </w:r>
      <w:r w:rsidR="00E65BCE">
        <w:rPr>
          <w:rFonts w:ascii="Goudy Old Style" w:hAnsi="Goudy Old Style"/>
        </w:rPr>
        <w:t>%</w:t>
      </w:r>
      <w:r w:rsidR="000A20AE">
        <w:rPr>
          <w:rFonts w:ascii="Goudy Old Style" w:hAnsi="Goudy Old Style"/>
        </w:rPr>
        <w:t xml:space="preserve"> ab</w:t>
      </w:r>
      <w:r w:rsidR="00E65BCE">
        <w:rPr>
          <w:rFonts w:ascii="Goudy Old Style" w:hAnsi="Goudy Old Style"/>
        </w:rPr>
        <w:t>v</w:t>
      </w:r>
    </w:p>
    <w:p w14:paraId="014D5E0E" w14:textId="77777777" w:rsidR="00E65BCE" w:rsidRDefault="00E65BCE" w:rsidP="00277276">
      <w:pPr>
        <w:jc w:val="center"/>
        <w:rPr>
          <w:rFonts w:ascii="Goudy Old Style" w:hAnsi="Goudy Old Style"/>
        </w:rPr>
      </w:pPr>
    </w:p>
    <w:p w14:paraId="101E0080" w14:textId="68AD8CC9" w:rsidR="00E65BCE" w:rsidRDefault="005924B1" w:rsidP="00277276">
      <w:pPr>
        <w:jc w:val="center"/>
        <w:rPr>
          <w:rFonts w:ascii="Goudy Old Style" w:hAnsi="Goudy Old Style"/>
        </w:rPr>
      </w:pPr>
      <w:r>
        <w:rPr>
          <w:rFonts w:ascii="Goudy Old Style" w:hAnsi="Goudy Old Style"/>
        </w:rPr>
        <w:t>72</w:t>
      </w:r>
      <w:r w:rsidR="00E65BCE">
        <w:rPr>
          <w:rFonts w:ascii="Goudy Old Style" w:hAnsi="Goudy Old Style"/>
        </w:rPr>
        <w:t xml:space="preserve"> cases produced</w:t>
      </w:r>
    </w:p>
    <w:p w14:paraId="6A05F7EE" w14:textId="77777777" w:rsidR="00E65BCE" w:rsidRDefault="00E65BCE" w:rsidP="00277276">
      <w:pPr>
        <w:jc w:val="center"/>
        <w:rPr>
          <w:rFonts w:ascii="Goudy Old Style" w:hAnsi="Goudy Old Style"/>
        </w:rPr>
      </w:pPr>
    </w:p>
    <w:p w14:paraId="02054B1B" w14:textId="77777777" w:rsidR="00E65BCE" w:rsidRDefault="00E65BCE" w:rsidP="00277276">
      <w:pPr>
        <w:jc w:val="center"/>
        <w:rPr>
          <w:rFonts w:ascii="Goudy Old Style" w:hAnsi="Goudy Old Style"/>
        </w:rPr>
      </w:pPr>
      <w:r>
        <w:rPr>
          <w:rFonts w:ascii="Goudy Old Style" w:hAnsi="Goudy Old Style"/>
        </w:rPr>
        <w:t>Hand bottled</w:t>
      </w:r>
      <w:r w:rsidR="00DC2441">
        <w:rPr>
          <w:rFonts w:ascii="Goudy Old Style" w:hAnsi="Goudy Old Style"/>
        </w:rPr>
        <w:t xml:space="preserve"> on site</w:t>
      </w:r>
    </w:p>
    <w:p w14:paraId="201EFA51" w14:textId="77777777" w:rsidR="00E65BCE" w:rsidRDefault="00E65BCE" w:rsidP="00277276">
      <w:pPr>
        <w:jc w:val="center"/>
        <w:rPr>
          <w:rFonts w:ascii="Goudy Old Style" w:hAnsi="Goudy Old Style"/>
        </w:rPr>
      </w:pPr>
    </w:p>
    <w:p w14:paraId="5F75AF0C" w14:textId="1041F801" w:rsidR="00E65BCE" w:rsidRDefault="00DE3659" w:rsidP="00277276">
      <w:pPr>
        <w:jc w:val="center"/>
        <w:rPr>
          <w:rFonts w:ascii="Goudy Old Style" w:hAnsi="Goudy Old Style"/>
        </w:rPr>
      </w:pPr>
      <w:r>
        <w:rPr>
          <w:rFonts w:ascii="Goudy Old Style" w:hAnsi="Goudy Old Style"/>
        </w:rPr>
        <w:t>Unreleased at this time,</w:t>
      </w:r>
    </w:p>
    <w:p w14:paraId="4DD401B9" w14:textId="7C705491" w:rsidR="00DE3659" w:rsidRDefault="00DE3659" w:rsidP="00277276">
      <w:pPr>
        <w:jc w:val="center"/>
        <w:rPr>
          <w:rFonts w:ascii="Goudy Old Style" w:hAnsi="Goudy Old Style"/>
        </w:rPr>
      </w:pPr>
      <w:proofErr w:type="gramStart"/>
      <w:r>
        <w:rPr>
          <w:rFonts w:ascii="Goudy Old Style" w:hAnsi="Goudy Old Style"/>
        </w:rPr>
        <w:t>so</w:t>
      </w:r>
      <w:proofErr w:type="gramEnd"/>
      <w:r>
        <w:rPr>
          <w:rFonts w:ascii="Goudy Old Style" w:hAnsi="Goudy Old Style"/>
        </w:rPr>
        <w:t xml:space="preserve"> no reviews yet</w:t>
      </w:r>
    </w:p>
    <w:p w14:paraId="7C69283F" w14:textId="6939F68A" w:rsidR="005C6242" w:rsidRDefault="005C6242" w:rsidP="00277276">
      <w:pPr>
        <w:jc w:val="center"/>
        <w:rPr>
          <w:rFonts w:ascii="Goudy Old Style" w:hAnsi="Goudy Old Style"/>
        </w:rPr>
      </w:pPr>
    </w:p>
    <w:p w14:paraId="6FB3FD7F" w14:textId="27326848" w:rsidR="005C6242" w:rsidRDefault="005C6242" w:rsidP="00277276">
      <w:pPr>
        <w:jc w:val="center"/>
        <w:rPr>
          <w:rFonts w:ascii="Goudy Old Style" w:hAnsi="Goudy Old Style"/>
        </w:rPr>
      </w:pPr>
      <w:r>
        <w:rPr>
          <w:rFonts w:ascii="Goudy Old Style" w:hAnsi="Goudy Old Style"/>
        </w:rPr>
        <w:t>Recommended pairings:</w:t>
      </w:r>
    </w:p>
    <w:p w14:paraId="53D7633A" w14:textId="317417AA" w:rsidR="005C6242" w:rsidRDefault="005C6242" w:rsidP="00277276">
      <w:pPr>
        <w:jc w:val="center"/>
        <w:rPr>
          <w:rFonts w:ascii="Goudy Old Style" w:hAnsi="Goudy Old Style"/>
        </w:rPr>
      </w:pPr>
      <w:r>
        <w:rPr>
          <w:rFonts w:ascii="Goudy Old Style" w:hAnsi="Goudy Old Style"/>
        </w:rPr>
        <w:t xml:space="preserve">Burgers, </w:t>
      </w:r>
      <w:r w:rsidR="00816CE9">
        <w:rPr>
          <w:rFonts w:ascii="Goudy Old Style" w:hAnsi="Goudy Old Style"/>
        </w:rPr>
        <w:t>grilled meats and veggies, barbacoa, oxtail pasta</w:t>
      </w:r>
    </w:p>
    <w:p w14:paraId="4DBC9E69" w14:textId="58161130" w:rsidR="00816CE9" w:rsidRDefault="00816CE9" w:rsidP="00277276">
      <w:pPr>
        <w:jc w:val="center"/>
        <w:rPr>
          <w:rFonts w:ascii="Goudy Old Style" w:hAnsi="Goudy Old Style"/>
        </w:rPr>
      </w:pPr>
    </w:p>
    <w:p w14:paraId="619E3F9E" w14:textId="6DC8E6C4" w:rsidR="00816CE9" w:rsidRPr="00CA4C94" w:rsidRDefault="00816CE9" w:rsidP="00277276">
      <w:pPr>
        <w:jc w:val="center"/>
        <w:rPr>
          <w:rFonts w:ascii="Goudy Old Style" w:hAnsi="Goudy Old Style"/>
        </w:rPr>
      </w:pPr>
      <w:r>
        <w:rPr>
          <w:rFonts w:ascii="Goudy Old Style" w:hAnsi="Goudy Old Style"/>
        </w:rPr>
        <w:t>SRP $32</w:t>
      </w:r>
    </w:p>
    <w:sectPr w:rsidR="00816CE9" w:rsidRPr="00CA4C94" w:rsidSect="00EA1A71">
      <w:footerReference w:type="default" r:id="rId7"/>
      <w:pgSz w:w="12240" w:h="15840"/>
      <w:pgMar w:top="1440" w:right="1584" w:bottom="1440" w:left="1584" w:header="720" w:footer="1008" w:gutter="0"/>
      <w:cols w:num="2" w:space="864" w:equalWidth="0">
        <w:col w:w="5544" w:space="864"/>
        <w:col w:w="2664"/>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D508C3" w14:textId="77777777" w:rsidR="00B12924" w:rsidRDefault="00B12924" w:rsidP="006E1390">
      <w:r>
        <w:separator/>
      </w:r>
    </w:p>
  </w:endnote>
  <w:endnote w:type="continuationSeparator" w:id="0">
    <w:p w14:paraId="14AF8E4F" w14:textId="77777777" w:rsidR="00B12924" w:rsidRDefault="00B12924" w:rsidP="006E1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oudy Old Style">
    <w:panose1 w:val="02020502050305020303"/>
    <w:charset w:val="4D"/>
    <w:family w:val="roman"/>
    <w:pitch w:val="variable"/>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Wingdings">
    <w:panose1 w:val="05000000000000000000"/>
    <w:charset w:val="02"/>
    <w:family w:val="decorative"/>
    <w:pitch w:val="variable"/>
    <w:sig w:usb0="00000000" w:usb1="10000000" w:usb2="00000000" w:usb3="00000000" w:csb0="80000000" w:csb1="00000000"/>
  </w:font>
  <w:font w:name="MS Gothic">
    <w:altName w:val="ＭＳ ゴシック"/>
    <w:panose1 w:val="020B0609070205080204"/>
    <w:charset w:val="4E"/>
    <w:family w:val="auto"/>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BF7AE6" w14:textId="77777777" w:rsidR="00F9115F" w:rsidRDefault="00F9115F" w:rsidP="006E1390">
    <w:pPr>
      <w:pStyle w:val="Footer"/>
      <w:jc w:val="center"/>
    </w:pPr>
    <w:r>
      <w:rPr>
        <w:noProof/>
      </w:rPr>
      <w:drawing>
        <wp:inline distT="0" distB="0" distL="0" distR="0" wp14:anchorId="115066C8" wp14:editId="5483D328">
          <wp:extent cx="1920240" cy="517666"/>
          <wp:effectExtent l="0" t="0" r="1016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Mlogo_stack (2).png"/>
                  <pic:cNvPicPr/>
                </pic:nvPicPr>
                <pic:blipFill>
                  <a:blip r:embed="rId1">
                    <a:extLst>
                      <a:ext uri="{28A0092B-C50C-407E-A947-70E740481C1C}">
                        <a14:useLocalDpi xmlns:a14="http://schemas.microsoft.com/office/drawing/2010/main" val="0"/>
                      </a:ext>
                    </a:extLst>
                  </a:blip>
                  <a:stretch>
                    <a:fillRect/>
                  </a:stretch>
                </pic:blipFill>
                <pic:spPr>
                  <a:xfrm>
                    <a:off x="0" y="0"/>
                    <a:ext cx="1921631" cy="518041"/>
                  </a:xfrm>
                  <a:prstGeom prst="rect">
                    <a:avLst/>
                  </a:prstGeom>
                </pic:spPr>
              </pic:pic>
            </a:graphicData>
          </a:graphic>
        </wp:inline>
      </w:drawing>
    </w:r>
  </w:p>
  <w:p w14:paraId="07DAB1B5" w14:textId="77777777" w:rsidR="00F9115F" w:rsidRDefault="00F9115F" w:rsidP="006E1390">
    <w:pPr>
      <w:pStyle w:val="Footer"/>
      <w:jc w:val="center"/>
    </w:pPr>
  </w:p>
  <w:p w14:paraId="6BE032CF" w14:textId="77E95A4D" w:rsidR="00F9115F" w:rsidRPr="00487001" w:rsidRDefault="005C6242" w:rsidP="006E1390">
    <w:pPr>
      <w:pStyle w:val="Footer"/>
      <w:jc w:val="center"/>
      <w:rPr>
        <w:sz w:val="20"/>
        <w:szCs w:val="20"/>
      </w:rPr>
    </w:pPr>
    <w:r>
      <w:rPr>
        <w:sz w:val="20"/>
        <w:szCs w:val="20"/>
      </w:rPr>
      <w:t>info</w:t>
    </w:r>
    <w:r w:rsidR="00F9115F" w:rsidRPr="00F9115F">
      <w:rPr>
        <w:sz w:val="20"/>
        <w:szCs w:val="20"/>
      </w:rPr>
      <w:t>@prima-materia.co</w:t>
    </w:r>
    <w:r>
      <w:rPr>
        <w:sz w:val="20"/>
        <w:szCs w:val="20"/>
      </w:rPr>
      <w:t>m</w:t>
    </w:r>
    <w:r w:rsidR="00F9115F">
      <w:rPr>
        <w:sz w:val="20"/>
        <w:szCs w:val="20"/>
      </w:rPr>
      <w:t xml:space="preserve"> </w:t>
    </w:r>
    <w:r w:rsidR="00F9115F" w:rsidRPr="00487001">
      <w:rPr>
        <w:sz w:val="20"/>
        <w:szCs w:val="20"/>
      </w:rPr>
      <w:t xml:space="preserve">  </w:t>
    </w:r>
    <w:r w:rsidR="00F9115F" w:rsidRPr="00487001">
      <w:rPr>
        <w:rFonts w:ascii="Wingdings" w:hAnsi="Wingdings"/>
        <w:sz w:val="20"/>
        <w:szCs w:val="20"/>
      </w:rPr>
      <w:t></w:t>
    </w:r>
    <w:r w:rsidR="00F9115F" w:rsidRPr="00487001">
      <w:rPr>
        <w:sz w:val="20"/>
        <w:szCs w:val="20"/>
      </w:rPr>
      <w:t xml:space="preserve"> </w:t>
    </w:r>
    <w:r w:rsidR="00F9115F">
      <w:rPr>
        <w:sz w:val="20"/>
        <w:szCs w:val="20"/>
      </w:rPr>
      <w:t xml:space="preserve"> </w:t>
    </w:r>
    <w:r w:rsidR="00F9115F" w:rsidRPr="00487001">
      <w:rPr>
        <w:sz w:val="20"/>
        <w:szCs w:val="20"/>
      </w:rPr>
      <w:t xml:space="preserve"> www.prima-materia.co</w:t>
    </w:r>
    <w:r>
      <w:rPr>
        <w:sz w:val="20"/>
        <w:szCs w:val="20"/>
      </w:rPr>
      <w:t>m</w:t>
    </w:r>
    <w:r w:rsidR="00F9115F" w:rsidRPr="00487001">
      <w:rPr>
        <w:sz w:val="20"/>
        <w:szCs w:val="20"/>
      </w:rPr>
      <w:t xml:space="preserve">  </w:t>
    </w:r>
    <w:r w:rsidR="00F9115F">
      <w:rPr>
        <w:sz w:val="20"/>
        <w:szCs w:val="20"/>
      </w:rPr>
      <w:t xml:space="preserve"> </w:t>
    </w:r>
    <w:r w:rsidR="00F9115F" w:rsidRPr="00487001">
      <w:rPr>
        <w:rFonts w:ascii="Wingdings" w:hAnsi="Wingdings"/>
        <w:sz w:val="20"/>
        <w:szCs w:val="20"/>
      </w:rPr>
      <w:t></w:t>
    </w:r>
    <w:r w:rsidR="00F9115F" w:rsidRPr="00487001">
      <w:rPr>
        <w:rFonts w:ascii="Wingdings" w:hAnsi="Wingdings"/>
        <w:sz w:val="20"/>
        <w:szCs w:val="20"/>
      </w:rPr>
      <w:t></w:t>
    </w:r>
    <w:r>
      <w:rPr>
        <w:sz w:val="20"/>
        <w:szCs w:val="20"/>
      </w:rPr>
      <w:t>510</w:t>
    </w:r>
    <w:r w:rsidR="00F9115F" w:rsidRPr="00487001">
      <w:rPr>
        <w:sz w:val="20"/>
        <w:szCs w:val="20"/>
      </w:rPr>
      <w:t>.</w:t>
    </w:r>
    <w:r>
      <w:rPr>
        <w:sz w:val="20"/>
        <w:szCs w:val="20"/>
      </w:rPr>
      <w:t>920</w:t>
    </w:r>
    <w:r w:rsidR="00F9115F" w:rsidRPr="00487001">
      <w:rPr>
        <w:sz w:val="20"/>
        <w:szCs w:val="20"/>
      </w:rPr>
      <w:t>.0</w:t>
    </w:r>
    <w:r>
      <w:rPr>
        <w:sz w:val="20"/>
        <w:szCs w:val="20"/>
      </w:rPr>
      <w:t>327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39FEB4" w14:textId="77777777" w:rsidR="00B12924" w:rsidRDefault="00B12924" w:rsidP="006E1390">
      <w:r>
        <w:separator/>
      </w:r>
    </w:p>
  </w:footnote>
  <w:footnote w:type="continuationSeparator" w:id="0">
    <w:p w14:paraId="4AE2ECAA" w14:textId="77777777" w:rsidR="00B12924" w:rsidRDefault="00B12924" w:rsidP="006E13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9"/>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687A"/>
    <w:rsid w:val="00035C0F"/>
    <w:rsid w:val="00046D31"/>
    <w:rsid w:val="00050486"/>
    <w:rsid w:val="0007418E"/>
    <w:rsid w:val="000A20AE"/>
    <w:rsid w:val="000A5069"/>
    <w:rsid w:val="000B016A"/>
    <w:rsid w:val="000F35A0"/>
    <w:rsid w:val="00114812"/>
    <w:rsid w:val="00156265"/>
    <w:rsid w:val="00156666"/>
    <w:rsid w:val="0015687A"/>
    <w:rsid w:val="001636C2"/>
    <w:rsid w:val="001C7744"/>
    <w:rsid w:val="0020206D"/>
    <w:rsid w:val="00260E01"/>
    <w:rsid w:val="00261503"/>
    <w:rsid w:val="00277276"/>
    <w:rsid w:val="00280342"/>
    <w:rsid w:val="002B0084"/>
    <w:rsid w:val="002F5EB0"/>
    <w:rsid w:val="00316703"/>
    <w:rsid w:val="003406EF"/>
    <w:rsid w:val="00350776"/>
    <w:rsid w:val="003560BB"/>
    <w:rsid w:val="00394F6E"/>
    <w:rsid w:val="003A097F"/>
    <w:rsid w:val="003F7A9C"/>
    <w:rsid w:val="00414CE8"/>
    <w:rsid w:val="0043647B"/>
    <w:rsid w:val="00466A96"/>
    <w:rsid w:val="00487001"/>
    <w:rsid w:val="004B697A"/>
    <w:rsid w:val="004B6A6F"/>
    <w:rsid w:val="004D39B8"/>
    <w:rsid w:val="004E0AAC"/>
    <w:rsid w:val="004E1B55"/>
    <w:rsid w:val="004F06E4"/>
    <w:rsid w:val="00526152"/>
    <w:rsid w:val="00544FF6"/>
    <w:rsid w:val="00555810"/>
    <w:rsid w:val="0056247D"/>
    <w:rsid w:val="00574A1D"/>
    <w:rsid w:val="00586DF3"/>
    <w:rsid w:val="005924B1"/>
    <w:rsid w:val="005A595B"/>
    <w:rsid w:val="005C6242"/>
    <w:rsid w:val="005E4092"/>
    <w:rsid w:val="005F48FA"/>
    <w:rsid w:val="00614821"/>
    <w:rsid w:val="00640CCC"/>
    <w:rsid w:val="00663475"/>
    <w:rsid w:val="0067218D"/>
    <w:rsid w:val="00674EBF"/>
    <w:rsid w:val="006A3978"/>
    <w:rsid w:val="006C1E80"/>
    <w:rsid w:val="006E1390"/>
    <w:rsid w:val="00704833"/>
    <w:rsid w:val="00725C3F"/>
    <w:rsid w:val="00727948"/>
    <w:rsid w:val="00794A10"/>
    <w:rsid w:val="007D4405"/>
    <w:rsid w:val="00804D95"/>
    <w:rsid w:val="00816CE9"/>
    <w:rsid w:val="00826F1D"/>
    <w:rsid w:val="00834124"/>
    <w:rsid w:val="008405C8"/>
    <w:rsid w:val="00871419"/>
    <w:rsid w:val="008940DE"/>
    <w:rsid w:val="008E09A9"/>
    <w:rsid w:val="008E5553"/>
    <w:rsid w:val="008E6A4C"/>
    <w:rsid w:val="00926B6A"/>
    <w:rsid w:val="00952B5D"/>
    <w:rsid w:val="00952F5E"/>
    <w:rsid w:val="009559BE"/>
    <w:rsid w:val="00956DE8"/>
    <w:rsid w:val="00966A2A"/>
    <w:rsid w:val="00982769"/>
    <w:rsid w:val="00A05F6F"/>
    <w:rsid w:val="00A5544E"/>
    <w:rsid w:val="00A7498B"/>
    <w:rsid w:val="00AC5BB0"/>
    <w:rsid w:val="00B12924"/>
    <w:rsid w:val="00B33420"/>
    <w:rsid w:val="00BE32B3"/>
    <w:rsid w:val="00C226A6"/>
    <w:rsid w:val="00C94F7F"/>
    <w:rsid w:val="00CA4C94"/>
    <w:rsid w:val="00CB508E"/>
    <w:rsid w:val="00CD351E"/>
    <w:rsid w:val="00CE453A"/>
    <w:rsid w:val="00CF7AC4"/>
    <w:rsid w:val="00D21D53"/>
    <w:rsid w:val="00D46E89"/>
    <w:rsid w:val="00D64B17"/>
    <w:rsid w:val="00D64E5D"/>
    <w:rsid w:val="00D73DC5"/>
    <w:rsid w:val="00DB6B13"/>
    <w:rsid w:val="00DC2441"/>
    <w:rsid w:val="00DC57A6"/>
    <w:rsid w:val="00DE3659"/>
    <w:rsid w:val="00DF2EC1"/>
    <w:rsid w:val="00E0669E"/>
    <w:rsid w:val="00E15411"/>
    <w:rsid w:val="00E414A9"/>
    <w:rsid w:val="00E65BCE"/>
    <w:rsid w:val="00E71255"/>
    <w:rsid w:val="00EA1A71"/>
    <w:rsid w:val="00EA6DCA"/>
    <w:rsid w:val="00EB0407"/>
    <w:rsid w:val="00EB2F5F"/>
    <w:rsid w:val="00EB3FD6"/>
    <w:rsid w:val="00EB5DF2"/>
    <w:rsid w:val="00EC5676"/>
    <w:rsid w:val="00F07EF3"/>
    <w:rsid w:val="00F2559C"/>
    <w:rsid w:val="00F30E8A"/>
    <w:rsid w:val="00F41363"/>
    <w:rsid w:val="00F86086"/>
    <w:rsid w:val="00F9115F"/>
    <w:rsid w:val="00FB4F0F"/>
    <w:rsid w:val="00FC30DC"/>
    <w:rsid w:val="00FC4251"/>
    <w:rsid w:val="00FF1F29"/>
    <w:rsid w:val="00FF5D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E8F30D"/>
  <w14:defaultImageDpi w14:val="300"/>
  <w15:docId w15:val="{CBD66603-B706-C04F-B9E9-719A6CFF0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1390"/>
    <w:pPr>
      <w:tabs>
        <w:tab w:val="center" w:pos="4320"/>
        <w:tab w:val="right" w:pos="8640"/>
      </w:tabs>
    </w:pPr>
  </w:style>
  <w:style w:type="character" w:customStyle="1" w:styleId="HeaderChar">
    <w:name w:val="Header Char"/>
    <w:basedOn w:val="DefaultParagraphFont"/>
    <w:link w:val="Header"/>
    <w:uiPriority w:val="99"/>
    <w:rsid w:val="006E1390"/>
  </w:style>
  <w:style w:type="paragraph" w:styleId="Footer">
    <w:name w:val="footer"/>
    <w:basedOn w:val="Normal"/>
    <w:link w:val="FooterChar"/>
    <w:uiPriority w:val="99"/>
    <w:unhideWhenUsed/>
    <w:rsid w:val="006E1390"/>
    <w:pPr>
      <w:tabs>
        <w:tab w:val="center" w:pos="4320"/>
        <w:tab w:val="right" w:pos="8640"/>
      </w:tabs>
    </w:pPr>
  </w:style>
  <w:style w:type="character" w:customStyle="1" w:styleId="FooterChar">
    <w:name w:val="Footer Char"/>
    <w:basedOn w:val="DefaultParagraphFont"/>
    <w:link w:val="Footer"/>
    <w:uiPriority w:val="99"/>
    <w:rsid w:val="006E1390"/>
  </w:style>
  <w:style w:type="paragraph" w:styleId="BalloonText">
    <w:name w:val="Balloon Text"/>
    <w:basedOn w:val="Normal"/>
    <w:link w:val="BalloonTextChar"/>
    <w:uiPriority w:val="99"/>
    <w:semiHidden/>
    <w:unhideWhenUsed/>
    <w:rsid w:val="006E139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E1390"/>
    <w:rPr>
      <w:rFonts w:ascii="Lucida Grande" w:hAnsi="Lucida Grande" w:cs="Lucida Grande"/>
      <w:sz w:val="18"/>
      <w:szCs w:val="18"/>
    </w:rPr>
  </w:style>
  <w:style w:type="character" w:styleId="Hyperlink">
    <w:name w:val="Hyperlink"/>
    <w:basedOn w:val="DefaultParagraphFont"/>
    <w:uiPriority w:val="99"/>
    <w:unhideWhenUsed/>
    <w:rsid w:val="00EC567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199959">
      <w:bodyDiv w:val="1"/>
      <w:marLeft w:val="0"/>
      <w:marRight w:val="0"/>
      <w:marTop w:val="0"/>
      <w:marBottom w:val="0"/>
      <w:divBdr>
        <w:top w:val="none" w:sz="0" w:space="0" w:color="auto"/>
        <w:left w:val="none" w:sz="0" w:space="0" w:color="auto"/>
        <w:bottom w:val="none" w:sz="0" w:space="0" w:color="auto"/>
        <w:right w:val="none" w:sz="0" w:space="0" w:color="auto"/>
      </w:divBdr>
    </w:div>
    <w:div w:id="565066233">
      <w:bodyDiv w:val="1"/>
      <w:marLeft w:val="0"/>
      <w:marRight w:val="0"/>
      <w:marTop w:val="0"/>
      <w:marBottom w:val="0"/>
      <w:divBdr>
        <w:top w:val="none" w:sz="0" w:space="0" w:color="auto"/>
        <w:left w:val="none" w:sz="0" w:space="0" w:color="auto"/>
        <w:bottom w:val="none" w:sz="0" w:space="0" w:color="auto"/>
        <w:right w:val="none" w:sz="0" w:space="0" w:color="auto"/>
      </w:divBdr>
    </w:div>
    <w:div w:id="12193195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1</Pages>
  <Words>353</Words>
  <Characters>2016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Vintage Berkeley, LLC</Company>
  <LinksUpToDate>false</LinksUpToDate>
  <CharactersWithSpaces>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Werther</dc:creator>
  <cp:keywords/>
  <dc:description/>
  <cp:lastModifiedBy>pietro buttitta</cp:lastModifiedBy>
  <cp:revision>12</cp:revision>
  <cp:lastPrinted>2017-10-23T20:50:00Z</cp:lastPrinted>
  <dcterms:created xsi:type="dcterms:W3CDTF">2017-10-16T22:26:00Z</dcterms:created>
  <dcterms:modified xsi:type="dcterms:W3CDTF">2019-08-18T02:38:00Z</dcterms:modified>
</cp:coreProperties>
</file>